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bCs/>
          <w:sz w:val="36"/>
          <w:szCs w:val="30"/>
        </w:rPr>
      </w:pPr>
      <w:r>
        <w:rPr>
          <w:rFonts w:hint="eastAsia" w:asciiTheme="minorEastAsia" w:hAnsiTheme="minorEastAsia"/>
          <w:b/>
          <w:bCs/>
          <w:sz w:val="36"/>
          <w:szCs w:val="30"/>
        </w:rPr>
        <w:t>福建农林大学乡村振兴研究院</w:t>
      </w:r>
    </w:p>
    <w:p>
      <w:pPr>
        <w:spacing w:line="360" w:lineRule="auto"/>
        <w:jc w:val="center"/>
        <w:rPr>
          <w:rFonts w:asciiTheme="minorEastAsia" w:hAnsiTheme="minorEastAsia"/>
          <w:b/>
          <w:bCs/>
          <w:sz w:val="36"/>
          <w:szCs w:val="30"/>
        </w:rPr>
      </w:pPr>
      <w:r>
        <w:rPr>
          <w:rFonts w:hint="eastAsia" w:asciiTheme="minorEastAsia" w:hAnsiTheme="minorEastAsia"/>
          <w:b/>
          <w:bCs/>
          <w:sz w:val="36"/>
          <w:szCs w:val="30"/>
        </w:rPr>
        <w:t>农信专项开放基金管理办法</w:t>
      </w:r>
    </w:p>
    <w:p>
      <w:pPr>
        <w:spacing w:line="360" w:lineRule="auto"/>
        <w:jc w:val="center"/>
        <w:rPr>
          <w:rFonts w:ascii="仿宋" w:hAnsi="仿宋" w:eastAsia="仿宋"/>
          <w:b/>
          <w:bCs/>
          <w:sz w:val="30"/>
          <w:szCs w:val="30"/>
        </w:rPr>
      </w:pPr>
    </w:p>
    <w:p>
      <w:pPr>
        <w:spacing w:line="360" w:lineRule="auto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一、总则</w:t>
      </w:r>
    </w:p>
    <w:p>
      <w:pPr>
        <w:spacing w:line="360" w:lineRule="auto"/>
        <w:ind w:firstLine="600" w:firstLineChars="200"/>
        <w:rPr>
          <w:rFonts w:ascii="仿宋" w:hAnsi="仿宋" w:eastAsia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第一条 为了正确把握福建农林大学乡村振兴研究院（简称研究院）农信专项开放基金（简称基金）资助方向，贯彻执行“合作共建、机构开放、人员流动、内外联合、协同创新、产学研一体化”的运行机制，科学、公正地遴选和管理资助项目，依据《福建农林大学科技计划项目经费管理办法（</w:t>
      </w:r>
      <w:r>
        <w:rPr>
          <w:rFonts w:ascii="仿宋" w:hAnsi="仿宋" w:eastAsia="仿宋"/>
          <w:sz w:val="30"/>
          <w:szCs w:val="30"/>
        </w:rPr>
        <w:t>修订）</w:t>
      </w:r>
      <w:r>
        <w:rPr>
          <w:rFonts w:hint="eastAsia" w:ascii="仿宋" w:hAnsi="仿宋" w:eastAsia="仿宋"/>
          <w:color w:val="000000" w:themeColor="text1"/>
          <w:sz w:val="30"/>
          <w:szCs w:val="30"/>
        </w:rPr>
        <w:t>》（闽农林大科〔</w:t>
      </w:r>
      <w:r>
        <w:rPr>
          <w:rFonts w:ascii="仿宋" w:hAnsi="仿宋" w:eastAsia="仿宋"/>
          <w:color w:val="000000" w:themeColor="text1"/>
          <w:sz w:val="30"/>
          <w:szCs w:val="30"/>
        </w:rPr>
        <w:t>2019</w:t>
      </w:r>
      <w:r>
        <w:rPr>
          <w:rFonts w:hint="eastAsia" w:ascii="仿宋" w:hAnsi="仿宋" w:eastAsia="仿宋"/>
          <w:color w:val="000000" w:themeColor="text1"/>
          <w:sz w:val="30"/>
          <w:szCs w:val="30"/>
        </w:rPr>
        <w:t>〕</w:t>
      </w:r>
      <w:r>
        <w:rPr>
          <w:rFonts w:ascii="仿宋" w:hAnsi="仿宋" w:eastAsia="仿宋"/>
          <w:color w:val="000000" w:themeColor="text1"/>
          <w:sz w:val="30"/>
          <w:szCs w:val="30"/>
        </w:rPr>
        <w:t>27</w:t>
      </w:r>
      <w:r>
        <w:rPr>
          <w:rFonts w:hint="eastAsia" w:ascii="仿宋" w:hAnsi="仿宋" w:eastAsia="仿宋"/>
          <w:color w:val="000000" w:themeColor="text1"/>
          <w:sz w:val="30"/>
          <w:szCs w:val="30"/>
        </w:rPr>
        <w:t xml:space="preserve">号），特制定本办法。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第二条 基金重点资助围绕农信助推乡村振兴，在促进产业振兴、人才振兴、文化振兴、生态振兴、组织振兴、闽台合作等方面的重大理论与实践问题，总结有效发展模式，促进农信发展与乡村全面振兴同频共振。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第三条 申报条件：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</w:t>
      </w:r>
      <w:r>
        <w:rPr>
          <w:rFonts w:ascii="仿宋" w:hAnsi="仿宋" w:eastAsia="仿宋"/>
          <w:sz w:val="30"/>
          <w:szCs w:val="30"/>
        </w:rPr>
        <w:t>申请者应该遵守中华人民共和国宪法和法律；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2、</w:t>
      </w:r>
      <w:r>
        <w:rPr>
          <w:rFonts w:hint="eastAsia" w:ascii="仿宋" w:hAnsi="仿宋" w:eastAsia="仿宋"/>
          <w:sz w:val="30"/>
          <w:szCs w:val="30"/>
        </w:rPr>
        <w:t>申请者</w:t>
      </w:r>
      <w:r>
        <w:rPr>
          <w:rFonts w:ascii="仿宋" w:hAnsi="仿宋" w:eastAsia="仿宋"/>
          <w:sz w:val="30"/>
          <w:szCs w:val="30"/>
        </w:rPr>
        <w:t>应具有中级以上（含）职称</w:t>
      </w:r>
      <w:r>
        <w:rPr>
          <w:rFonts w:hint="eastAsia" w:ascii="仿宋" w:hAnsi="仿宋" w:eastAsia="仿宋"/>
          <w:sz w:val="30"/>
          <w:szCs w:val="30"/>
        </w:rPr>
        <w:t>及</w:t>
      </w:r>
      <w:r>
        <w:rPr>
          <w:rFonts w:ascii="仿宋" w:hAnsi="仿宋" w:eastAsia="仿宋"/>
          <w:sz w:val="30"/>
          <w:szCs w:val="30"/>
        </w:rPr>
        <w:t>硕士以上（含）学位；有较好的相关工作和研究基础，课题组在相关领域应具有较雄厚的研究实力或实践经验；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3、</w:t>
      </w:r>
      <w:r>
        <w:rPr>
          <w:rFonts w:hint="eastAsia" w:ascii="仿宋" w:hAnsi="仿宋" w:eastAsia="仿宋"/>
          <w:sz w:val="30"/>
          <w:szCs w:val="30"/>
        </w:rPr>
        <w:t>申请者</w:t>
      </w:r>
      <w:r>
        <w:rPr>
          <w:rFonts w:ascii="仿宋" w:hAnsi="仿宋" w:eastAsia="仿宋"/>
          <w:sz w:val="30"/>
          <w:szCs w:val="30"/>
        </w:rPr>
        <w:t>应当正式受聘于项目</w:t>
      </w:r>
      <w:r>
        <w:rPr>
          <w:rFonts w:hint="eastAsia" w:ascii="仿宋" w:hAnsi="仿宋" w:eastAsia="仿宋"/>
          <w:sz w:val="30"/>
          <w:szCs w:val="30"/>
        </w:rPr>
        <w:t>委托或</w:t>
      </w:r>
      <w:r>
        <w:rPr>
          <w:rFonts w:ascii="仿宋" w:hAnsi="仿宋" w:eastAsia="仿宋"/>
          <w:sz w:val="30"/>
          <w:szCs w:val="30"/>
        </w:rPr>
        <w:t>依托单位，每年在</w:t>
      </w:r>
      <w:r>
        <w:rPr>
          <w:rFonts w:hint="eastAsia" w:ascii="仿宋" w:hAnsi="仿宋" w:eastAsia="仿宋"/>
          <w:sz w:val="30"/>
          <w:szCs w:val="30"/>
        </w:rPr>
        <w:t>委托或</w:t>
      </w:r>
      <w:r>
        <w:rPr>
          <w:rFonts w:ascii="仿宋" w:hAnsi="仿宋" w:eastAsia="仿宋"/>
          <w:sz w:val="30"/>
          <w:szCs w:val="30"/>
        </w:rPr>
        <w:t>依托单位工作时间不得少于六个月；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4、申请者应当具有独立开展研究和组织开展研究的能力，能够承担实质性研究工作，须从事实际研究工作并真正承担和负责组织项目的实施；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5、申请者必须是项目的实际主持人</w:t>
      </w:r>
      <w:r>
        <w:rPr>
          <w:rFonts w:hint="eastAsia" w:ascii="仿宋" w:hAnsi="仿宋" w:eastAsia="仿宋"/>
          <w:sz w:val="30"/>
          <w:szCs w:val="30"/>
        </w:rPr>
        <w:t>，原则上每个申请者只能申请1个项目</w:t>
      </w:r>
      <w:r>
        <w:rPr>
          <w:rFonts w:ascii="仿宋" w:hAnsi="仿宋" w:eastAsia="仿宋"/>
          <w:sz w:val="30"/>
          <w:szCs w:val="30"/>
        </w:rPr>
        <w:t>；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6</w:t>
      </w:r>
      <w:r>
        <w:rPr>
          <w:rFonts w:ascii="仿宋" w:hAnsi="仿宋" w:eastAsia="仿宋"/>
          <w:sz w:val="30"/>
          <w:szCs w:val="30"/>
        </w:rPr>
        <w:t>、课题组成员须征得本人同意并签字确认，否则视为违规申报</w:t>
      </w:r>
      <w:r>
        <w:rPr>
          <w:rFonts w:hint="eastAsia" w:ascii="仿宋" w:hAnsi="仿宋" w:eastAsia="仿宋"/>
          <w:sz w:val="30"/>
          <w:szCs w:val="30"/>
        </w:rPr>
        <w:t>，每个成员最多参加两个项目研究；课题组成立后由福建省农村信用社联合社（以下简称“福建农信”）指派1名成员作为联络员，负责协调对接与福建农信的相关事项，并参与课题讨论；成员中如有</w:t>
      </w:r>
      <w:r>
        <w:rPr>
          <w:rFonts w:ascii="仿宋" w:hAnsi="仿宋" w:eastAsia="仿宋"/>
          <w:sz w:val="30"/>
          <w:szCs w:val="30"/>
        </w:rPr>
        <w:t>福建农林大学在读的研究生，申请时应征得导师同意；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7、基金项目的研究年限一般为1年。特别优秀的项目，根据研究内容需要较长时间研究的，经研究院学术委员会批准可在下年度课题中继续资助。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第四条 中心按照“依靠专家、发扬民主、择优支持、公正合理”的评审原则遴选资助项目。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第五条 支持创新是基金资助工作的主要宗旨，评审中要特别注意发现和保护创新性强的项目。积极支持跨学科和学科交叉的研究，注意扶植新的学科增长点。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第六条 基金立项按初审、专家组评议、中心审批的程序进行。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第七条 本办法适用于包括重点项目、一般项目等在内的开放基金项目评审。设立开放课题所需的经费从研究院运行费预算中支出，用于资助开放课题研究，专款专用。</w:t>
      </w:r>
    </w:p>
    <w:p>
      <w:pPr>
        <w:spacing w:line="360" w:lineRule="auto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二、权益保护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第八条 参加评审工作的全体人员应严格遵守以下规定，切实保护申请者和评审者的权益。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1、保护申请者知识产权，不准擅自复制、抄录和留用申请书；不准泄露或以任何形式剽窃申请书内容；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2、不准泄露评审专家姓名、评审意见和未经审批的评审结果。</w:t>
      </w:r>
    </w:p>
    <w:p>
      <w:pPr>
        <w:numPr>
          <w:ilvl w:val="0"/>
          <w:numId w:val="1"/>
        </w:numPr>
        <w:spacing w:line="360" w:lineRule="auto"/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开放基金的使用和管理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第</w:t>
      </w:r>
      <w:r>
        <w:rPr>
          <w:rFonts w:hint="eastAsia" w:ascii="仿宋" w:hAnsi="仿宋" w:eastAsia="仿宋"/>
          <w:sz w:val="30"/>
          <w:szCs w:val="30"/>
        </w:rPr>
        <w:t>九</w:t>
      </w:r>
      <w:r>
        <w:rPr>
          <w:rFonts w:ascii="仿宋" w:hAnsi="仿宋" w:eastAsia="仿宋"/>
          <w:sz w:val="30"/>
          <w:szCs w:val="30"/>
        </w:rPr>
        <w:t>条</w:t>
      </w:r>
      <w:r>
        <w:rPr>
          <w:rFonts w:hint="eastAsia" w:ascii="仿宋" w:hAnsi="仿宋" w:eastAsia="仿宋"/>
          <w:sz w:val="30"/>
          <w:szCs w:val="30"/>
        </w:rPr>
        <w:t xml:space="preserve"> 基金项目研究年限为一年，每年1月公布申报选题指南，12月结题。申请者需填写《福建农林大学乡村振兴研究院农信专项开放基金项目申请书》。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第十条 </w:t>
      </w:r>
      <w:r>
        <w:rPr>
          <w:rFonts w:ascii="仿宋" w:hAnsi="仿宋" w:eastAsia="仿宋"/>
          <w:sz w:val="30"/>
          <w:szCs w:val="30"/>
        </w:rPr>
        <w:t>开放课题分为</w:t>
      </w:r>
      <w:r>
        <w:rPr>
          <w:rFonts w:hint="eastAsia" w:ascii="仿宋" w:hAnsi="仿宋" w:eastAsia="仿宋"/>
          <w:sz w:val="30"/>
          <w:szCs w:val="30"/>
        </w:rPr>
        <w:t>两</w:t>
      </w:r>
      <w:r>
        <w:rPr>
          <w:rFonts w:ascii="仿宋" w:hAnsi="仿宋" w:eastAsia="仿宋"/>
          <w:sz w:val="30"/>
          <w:szCs w:val="30"/>
        </w:rPr>
        <w:t>类</w:t>
      </w:r>
      <w:r>
        <w:rPr>
          <w:rFonts w:hint="eastAsia" w:ascii="仿宋" w:hAnsi="仿宋" w:eastAsia="仿宋"/>
          <w:sz w:val="30"/>
          <w:szCs w:val="30"/>
        </w:rPr>
        <w:t>，一是</w:t>
      </w:r>
      <w:r>
        <w:rPr>
          <w:rFonts w:ascii="仿宋" w:hAnsi="仿宋" w:eastAsia="仿宋"/>
          <w:sz w:val="30"/>
          <w:szCs w:val="30"/>
        </w:rPr>
        <w:t>重点课题</w:t>
      </w:r>
      <w:r>
        <w:rPr>
          <w:rFonts w:hint="eastAsia" w:ascii="仿宋" w:hAnsi="仿宋" w:eastAsia="仿宋"/>
          <w:sz w:val="30"/>
          <w:szCs w:val="30"/>
        </w:rPr>
        <w:t>，每项资助6-10万元；二是一般课题，每项资助4-6万元，具体资助金额每年根据基金经费状况确定。</w:t>
      </w:r>
      <w:r>
        <w:rPr>
          <w:rFonts w:ascii="仿宋" w:hAnsi="仿宋" w:eastAsia="仿宋"/>
          <w:sz w:val="30"/>
          <w:szCs w:val="30"/>
        </w:rPr>
        <w:t>项目经费分两次划拨。</w:t>
      </w:r>
      <w:r>
        <w:rPr>
          <w:rFonts w:hint="eastAsia" w:ascii="仿宋" w:hAnsi="仿宋" w:eastAsia="仿宋"/>
          <w:sz w:val="30"/>
          <w:szCs w:val="30"/>
        </w:rPr>
        <w:t>立项后即</w:t>
      </w:r>
      <w:r>
        <w:rPr>
          <w:rFonts w:ascii="仿宋" w:hAnsi="仿宋" w:eastAsia="仿宋"/>
          <w:sz w:val="30"/>
          <w:szCs w:val="30"/>
        </w:rPr>
        <w:t>划拨经费的</w:t>
      </w:r>
      <w:r>
        <w:rPr>
          <w:rFonts w:hint="eastAsia" w:ascii="仿宋" w:hAnsi="仿宋" w:eastAsia="仿宋"/>
          <w:sz w:val="30"/>
          <w:szCs w:val="30"/>
        </w:rPr>
        <w:t>7</w:t>
      </w:r>
      <w:r>
        <w:rPr>
          <w:rFonts w:ascii="仿宋" w:hAnsi="仿宋" w:eastAsia="仿宋"/>
          <w:sz w:val="30"/>
          <w:szCs w:val="30"/>
        </w:rPr>
        <w:t>0％，</w:t>
      </w:r>
      <w:r>
        <w:rPr>
          <w:rFonts w:hint="eastAsia" w:ascii="仿宋" w:hAnsi="仿宋" w:eastAsia="仿宋"/>
          <w:sz w:val="30"/>
          <w:szCs w:val="30"/>
        </w:rPr>
        <w:t>结项后</w:t>
      </w:r>
      <w:r>
        <w:rPr>
          <w:rFonts w:ascii="仿宋" w:hAnsi="仿宋" w:eastAsia="仿宋"/>
          <w:sz w:val="30"/>
          <w:szCs w:val="30"/>
        </w:rPr>
        <w:t>划拨</w:t>
      </w:r>
      <w:r>
        <w:rPr>
          <w:rFonts w:hint="eastAsia" w:ascii="仿宋" w:hAnsi="仿宋" w:eastAsia="仿宋"/>
          <w:sz w:val="30"/>
          <w:szCs w:val="30"/>
        </w:rPr>
        <w:t>3</w:t>
      </w:r>
      <w:r>
        <w:rPr>
          <w:rFonts w:ascii="仿宋" w:hAnsi="仿宋" w:eastAsia="仿宋"/>
          <w:sz w:val="30"/>
          <w:szCs w:val="30"/>
        </w:rPr>
        <w:t>0%。</w:t>
      </w:r>
      <w:r>
        <w:rPr>
          <w:rFonts w:hint="eastAsia" w:ascii="仿宋" w:hAnsi="仿宋" w:eastAsia="仿宋"/>
          <w:sz w:val="30"/>
          <w:szCs w:val="30"/>
        </w:rPr>
        <w:t>经费的使用和管理根据《福建农林大学纵向科技计划项目管理办法（试行）》（闽农林大科〔2020〕13号）</w:t>
      </w:r>
      <w:bookmarkStart w:id="1" w:name="_GoBack"/>
      <w:bookmarkEnd w:id="1"/>
      <w:r>
        <w:rPr>
          <w:rFonts w:hint="eastAsia" w:ascii="仿宋" w:hAnsi="仿宋" w:eastAsia="仿宋"/>
          <w:sz w:val="30"/>
          <w:szCs w:val="30"/>
        </w:rPr>
        <w:t>执行。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第</w:t>
      </w:r>
      <w:r>
        <w:rPr>
          <w:rFonts w:hint="eastAsia" w:ascii="仿宋" w:hAnsi="仿宋" w:eastAsia="仿宋"/>
          <w:sz w:val="30"/>
          <w:szCs w:val="30"/>
        </w:rPr>
        <w:t>十一</w:t>
      </w:r>
      <w:r>
        <w:rPr>
          <w:rFonts w:ascii="仿宋" w:hAnsi="仿宋" w:eastAsia="仿宋"/>
          <w:sz w:val="30"/>
          <w:szCs w:val="30"/>
        </w:rPr>
        <w:t>条</w:t>
      </w: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ascii="仿宋" w:hAnsi="仿宋" w:eastAsia="仿宋"/>
          <w:sz w:val="30"/>
          <w:szCs w:val="30"/>
        </w:rPr>
        <w:t>基金资助项目经费专款专用，可以结转到下一年度使用，但不得挪作它用，一经发现，中止资助。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第</w:t>
      </w:r>
      <w:r>
        <w:rPr>
          <w:rFonts w:hint="eastAsia" w:ascii="仿宋" w:hAnsi="仿宋" w:eastAsia="仿宋"/>
          <w:sz w:val="30"/>
          <w:szCs w:val="30"/>
        </w:rPr>
        <w:t>十二</w:t>
      </w:r>
      <w:r>
        <w:rPr>
          <w:rFonts w:ascii="仿宋" w:hAnsi="仿宋" w:eastAsia="仿宋"/>
          <w:sz w:val="30"/>
          <w:szCs w:val="30"/>
        </w:rPr>
        <w:t>条 对于进行中期终止的研究项目，将中止资助，并根据情况全部或部分收回已划拨经费，用于资助其它项目。</w:t>
      </w:r>
    </w:p>
    <w:p>
      <w:pPr>
        <w:spacing w:line="360" w:lineRule="auto"/>
        <w:ind w:firstLine="420"/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四、初审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第十三条 研究院学术委员会负责申请项目的初审，有以下情况之一者可建议初筛：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1、申请者不具备管理办法规定的申请资格；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2、申请手续不完备，申请书填写不符合规定；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3、不符合开放基金资助范围；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4、与同类研究低水平重复；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5、明显缺乏立论依据，或研究方法、技术路线明显不清，无法进行评审；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6、不具备实施该项目的研究能力，或缺乏基本的研究条件；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7、申请者对已获资助项目，不执行开放基金资助项目管理的有关规定，且未按要求补正的；不认真开展研究工作，未取得研究结果或未撰写一篇论文的。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第十四条 经初审建议初筛的项目，不送专家组评议。 </w:t>
      </w:r>
    </w:p>
    <w:p>
      <w:pPr>
        <w:spacing w:line="360" w:lineRule="auto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五、专家组评议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第十五条 专家组评议是遴选项目的基础，由研究院组织，</w:t>
      </w:r>
      <w:bookmarkStart w:id="0" w:name="_Hlk98225514"/>
      <w:r>
        <w:rPr>
          <w:rFonts w:hint="eastAsia" w:ascii="仿宋" w:hAnsi="仿宋" w:eastAsia="仿宋"/>
          <w:sz w:val="30"/>
          <w:szCs w:val="30"/>
        </w:rPr>
        <w:t xml:space="preserve">一般采取书面评议和会议评议相结合的方式进行。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第十六条 书面评议须邀请至少3名专家进行，其中至少1名福建农信委派的专家参加。会议评议专家组成员由5-7人组成，其中至少2名福建农信委派的专家参加。高校专家应具有高级职称。 </w:t>
      </w:r>
    </w:p>
    <w:bookmarkEnd w:id="0"/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第十七条 书面评议时，评议人应从以下方面对申请项目进行评议，在此基础上给出综合评价得分和资助与否的意见。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1、项目选题：严格按照课题指南申报，主要考察申请人对该选题国内外研究状况的总体把握程度，以及本研究的特色和创新之处。本部分占综合评价得分的15%。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、课题论证：对申请项目的研究内容、研究目标、研究方法、研究方案、技术路线、拟解决的关键问题和经费预算等方面进行综合评议其创新性、可行性和合理性，如有可能，请对完善课题论证提出建议。本部分占综合评价得分的 75%。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3、研究基础：主要考察前期基础、工作条件进行适当评价。对于一般项目，应特别注意申请人的创新潜力和创新思维，不必过于强调其研究队伍和工作积累。本部分占综合评价得分的 10%。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第十八条 会议评议时，专家组应对申请项目逐项评议，根据申请书质量给出建议资助名单。</w:t>
      </w:r>
    </w:p>
    <w:p>
      <w:pPr>
        <w:spacing w:line="360" w:lineRule="auto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六、审批立项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第十九条 乡村振兴研究院学术委员会根据专家评议组建议，进行综合审核，提出计划资助项目，经乡村振兴研究院院长办公会审查批准。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第二十条 计划资助项目经批准后，研究院通过电子邮件或书面通知申请者资助结果。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第二十一条 对申请项目评审的公正性有异议的，可向研究院提出书面投诉。</w:t>
      </w:r>
    </w:p>
    <w:p>
      <w:pPr>
        <w:spacing w:line="360" w:lineRule="auto"/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七、项目实施过程管理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第二十二条 研究计划实施中，涉及到预定目标、研究内容、计划实施等的改变、以及提前结题或延长年限等变更，项目负责人须提出报告，经所在单位审查签署意见后，提交研究院审批。相关事项须及时通报福建农信。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第二十三条 研究院每年9月对基金项目执行情况进行中期检查，福建农信委派1名专家参与中期检查工作。项目负责人需按照要求提交项目期间进展报告。对不报送进展报告、工作无进展、经费使用不当的项目，将中止资助，并按相关要求处理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第二十四条 研究期满一个月内，项目负责人填写项目结题报告并提交相关支撑材料。结题时须提供一份研究报告的最终成果（与项目研究内容一致）。重点项目的最终成果字数不少于2.5万字，一般项目的最终成果字数不少于1.5万字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第二十五条课题结题由研究院组织结题评审会，一般采取书面评议和会议评议相结合的方式进行。书面评议须邀请至少3名专家进行，其中至少1名福建农信委派的专家参加。会议评议专家组成员由5-7人组成，其中至少2名福建农信委派的专家参加。高校专家应具有高级职称。课题评审须经三分之二以上（含三分之二）评委同意方算通过。评委存在较多异议的，可暂缓表决，经课题组修改后再行组织评审。 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此外，还须满足以下任何一条： </w:t>
      </w:r>
    </w:p>
    <w:p>
      <w:pPr>
        <w:numPr>
          <w:ilvl w:val="0"/>
          <w:numId w:val="2"/>
        </w:num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项目研究提出的理论观点、政策建议原则上要获得省直机关有关单位负责人、设区市党委政府在职领导的肯定性批示或被省直机关有关单位、设区市党委政府采纳吸收。相关证明材料须加盖采纳单位公章。</w:t>
      </w:r>
    </w:p>
    <w:p>
      <w:pPr>
        <w:numPr>
          <w:ilvl w:val="0"/>
          <w:numId w:val="2"/>
        </w:num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阶段性成果在省属重点大学学报及以上发表1篇（含）以上与项目研究内容相关的学术论文的；在《福建日报》理论版上发表1篇（含）以上与项目研究内容相关的理论文章的。</w:t>
      </w:r>
    </w:p>
    <w:p>
      <w:pPr>
        <w:numPr>
          <w:ilvl w:val="0"/>
          <w:numId w:val="2"/>
        </w:num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阶段性成果入选《福建省社科规划项目成果要报》、省委办公厅《八闽快讯》（专报件）、省委政策研究室《调研文稿》、省政府发展研究中心《研究报告》、省委改革办《福建改革财经情况》的。</w:t>
      </w:r>
    </w:p>
    <w:p>
      <w:pPr>
        <w:adjustRightInd w:val="0"/>
        <w:snapToGrid w:val="0"/>
        <w:spacing w:line="348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4、项目成果获得市级以上社会科学优秀成果奖。</w:t>
      </w:r>
    </w:p>
    <w:p>
      <w:pPr>
        <w:spacing w:line="360" w:lineRule="auto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八、成果</w:t>
      </w:r>
    </w:p>
    <w:p>
      <w:p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　　</w:t>
      </w:r>
      <w:r>
        <w:rPr>
          <w:rFonts w:hint="eastAsia" w:ascii="仿宋" w:hAnsi="仿宋" w:eastAsia="仿宋"/>
          <w:sz w:val="30"/>
          <w:szCs w:val="30"/>
        </w:rPr>
        <w:t>第二十六条 研究院学术委员会负责项目成果的验收评估，并给出优秀、良好、完成、未完成等四种评价。对于优秀者，颁发“优秀成果证书”，并在下一轮基金申请时予以优先资助；对于无故未完成者，今后不再予以资助。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</w:t>
      </w:r>
      <w:r>
        <w:rPr>
          <w:rFonts w:ascii="仿宋" w:hAnsi="仿宋" w:eastAsia="仿宋"/>
          <w:sz w:val="30"/>
          <w:szCs w:val="30"/>
        </w:rPr>
        <w:t>开放基金课题的研究成果由申请人</w:t>
      </w:r>
      <w:r>
        <w:rPr>
          <w:rFonts w:hint="eastAsia" w:ascii="仿宋" w:hAnsi="仿宋" w:eastAsia="仿宋"/>
          <w:sz w:val="30"/>
          <w:szCs w:val="30"/>
        </w:rPr>
        <w:t>及福建农林大学乡村振兴研究院</w:t>
      </w:r>
      <w:r>
        <w:rPr>
          <w:rFonts w:ascii="仿宋" w:hAnsi="仿宋" w:eastAsia="仿宋"/>
          <w:sz w:val="30"/>
          <w:szCs w:val="30"/>
        </w:rPr>
        <w:t>和</w:t>
      </w:r>
      <w:r>
        <w:rPr>
          <w:rFonts w:hint="eastAsia" w:ascii="仿宋" w:hAnsi="仿宋" w:eastAsia="仿宋"/>
          <w:sz w:val="30"/>
          <w:szCs w:val="30"/>
        </w:rPr>
        <w:t>福建农信</w:t>
      </w:r>
      <w:r>
        <w:rPr>
          <w:rFonts w:ascii="仿宋" w:hAnsi="仿宋" w:eastAsia="仿宋"/>
          <w:sz w:val="30"/>
          <w:szCs w:val="30"/>
        </w:rPr>
        <w:t>共享。开放基金资助的论文发表、专著出版和奖励申报等都应进行开放基金资助标注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　</w:t>
      </w:r>
      <w:r>
        <w:rPr>
          <w:rFonts w:hint="eastAsia" w:ascii="仿宋" w:hAnsi="仿宋" w:eastAsia="仿宋"/>
          <w:sz w:val="30"/>
          <w:szCs w:val="30"/>
        </w:rPr>
        <w:t xml:space="preserve">  2、</w:t>
      </w:r>
      <w:r>
        <w:rPr>
          <w:rFonts w:ascii="仿宋" w:hAnsi="仿宋" w:eastAsia="仿宋"/>
          <w:sz w:val="30"/>
          <w:szCs w:val="30"/>
        </w:rPr>
        <w:t>开放基金课题用于资助申请人与</w:t>
      </w:r>
      <w:r>
        <w:rPr>
          <w:rFonts w:hint="eastAsia" w:ascii="仿宋" w:hAnsi="仿宋" w:eastAsia="仿宋"/>
          <w:sz w:val="30"/>
          <w:szCs w:val="30"/>
        </w:rPr>
        <w:t>相关</w:t>
      </w:r>
      <w:r>
        <w:rPr>
          <w:rFonts w:ascii="仿宋" w:hAnsi="仿宋" w:eastAsia="仿宋"/>
          <w:sz w:val="30"/>
          <w:szCs w:val="30"/>
        </w:rPr>
        <w:t>人员开展合作研究工作，所获得的成果应体现双方的合作，合作者须为共同作者。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</w:t>
      </w:r>
      <w:r>
        <w:rPr>
          <w:rFonts w:ascii="仿宋" w:hAnsi="仿宋" w:eastAsia="仿宋"/>
          <w:sz w:val="30"/>
          <w:szCs w:val="30"/>
        </w:rPr>
        <w:t>项目资助中文标注格式：</w:t>
      </w:r>
      <w:r>
        <w:rPr>
          <w:rFonts w:hint="eastAsia" w:ascii="仿宋" w:hAnsi="仿宋" w:eastAsia="仿宋"/>
          <w:sz w:val="30"/>
          <w:szCs w:val="30"/>
        </w:rPr>
        <w:t>福建农林大学乡村振兴研究院农信专项</w:t>
      </w:r>
      <w:r>
        <w:rPr>
          <w:rFonts w:ascii="仿宋" w:hAnsi="仿宋" w:eastAsia="仿宋"/>
          <w:sz w:val="30"/>
          <w:szCs w:val="30"/>
        </w:rPr>
        <w:t>开放基金资助（课题号）。</w:t>
      </w:r>
    </w:p>
    <w:p>
      <w:pPr>
        <w:spacing w:line="360" w:lineRule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　　4、开放基金课题资助获得的成果，</w:t>
      </w:r>
      <w:r>
        <w:rPr>
          <w:rFonts w:hint="eastAsia" w:ascii="仿宋" w:hAnsi="仿宋" w:eastAsia="仿宋"/>
          <w:sz w:val="30"/>
          <w:szCs w:val="30"/>
        </w:rPr>
        <w:t>公开发表进</w:t>
      </w:r>
      <w:r>
        <w:rPr>
          <w:rFonts w:ascii="仿宋" w:hAnsi="仿宋" w:eastAsia="仿宋"/>
          <w:sz w:val="30"/>
          <w:szCs w:val="30"/>
        </w:rPr>
        <w:t>应按</w:t>
      </w:r>
      <w:r>
        <w:rPr>
          <w:rFonts w:hint="eastAsia" w:ascii="仿宋" w:hAnsi="仿宋" w:eastAsia="仿宋"/>
          <w:sz w:val="30"/>
          <w:szCs w:val="30"/>
        </w:rPr>
        <w:t>本研究院</w:t>
      </w:r>
      <w:r>
        <w:rPr>
          <w:rFonts w:ascii="仿宋" w:hAnsi="仿宋" w:eastAsia="仿宋"/>
          <w:sz w:val="30"/>
          <w:szCs w:val="30"/>
        </w:rPr>
        <w:t>署名方式署名：中文：</w:t>
      </w:r>
      <w:r>
        <w:rPr>
          <w:rFonts w:hint="eastAsia" w:ascii="仿宋" w:hAnsi="仿宋" w:eastAsia="仿宋"/>
          <w:sz w:val="30"/>
          <w:szCs w:val="30"/>
        </w:rPr>
        <w:t>福建农林大学乡村振兴研究院</w:t>
      </w:r>
      <w:r>
        <w:rPr>
          <w:rFonts w:ascii="仿宋" w:hAnsi="仿宋" w:eastAsia="仿宋"/>
          <w:sz w:val="30"/>
          <w:szCs w:val="30"/>
        </w:rPr>
        <w:t>，</w:t>
      </w:r>
      <w:r>
        <w:rPr>
          <w:rFonts w:hint="eastAsia" w:ascii="仿宋" w:hAnsi="仿宋" w:eastAsia="仿宋"/>
          <w:sz w:val="30"/>
          <w:szCs w:val="30"/>
        </w:rPr>
        <w:t>350000，</w:t>
      </w:r>
      <w:r>
        <w:rPr>
          <w:rFonts w:ascii="仿宋" w:hAnsi="仿宋" w:eastAsia="仿宋"/>
          <w:sz w:val="30"/>
          <w:szCs w:val="30"/>
        </w:rPr>
        <w:t>英文：</w:t>
      </w:r>
      <w:r>
        <w:rPr>
          <w:rFonts w:ascii="Times New Roman" w:hAnsi="Times New Roman" w:eastAsia="仿宋" w:cs="Times New Roman"/>
          <w:sz w:val="30"/>
          <w:szCs w:val="30"/>
        </w:rPr>
        <w:t>Institute of Rural Revitalization Research, Fujian Agriculture and Forestry University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spacing w:line="360" w:lineRule="auto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九、附则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第二十七条 本办法由福建农林大学乡村振兴研究院负责解释。自正式公布之日起施行。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第二十八条 凡不按上述各条执行者，取消今后开放课题基金资助项目申请的资格，并保留向申请人追究违约责任的权利。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第二十九条 本办法中未尽事宜，依《福建农林大学科技计划项目经费管理办法（</w:t>
      </w:r>
      <w:r>
        <w:rPr>
          <w:rFonts w:ascii="仿宋" w:hAnsi="仿宋" w:eastAsia="仿宋"/>
          <w:sz w:val="30"/>
          <w:szCs w:val="30"/>
        </w:rPr>
        <w:t>修订）</w:t>
      </w:r>
      <w:r>
        <w:rPr>
          <w:rFonts w:hint="eastAsia" w:ascii="仿宋" w:hAnsi="仿宋" w:eastAsia="仿宋"/>
          <w:sz w:val="30"/>
          <w:szCs w:val="30"/>
        </w:rPr>
        <w:t>》。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869419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1A3106"/>
    <w:multiLevelType w:val="singleLevel"/>
    <w:tmpl w:val="C91A310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A159D49"/>
    <w:multiLevelType w:val="singleLevel"/>
    <w:tmpl w:val="7A159D4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6FE0"/>
    <w:rsid w:val="00010277"/>
    <w:rsid w:val="00025AFC"/>
    <w:rsid w:val="00076BB9"/>
    <w:rsid w:val="0009259C"/>
    <w:rsid w:val="000B5C6A"/>
    <w:rsid w:val="000F4E5C"/>
    <w:rsid w:val="0010001C"/>
    <w:rsid w:val="001072AD"/>
    <w:rsid w:val="00122D27"/>
    <w:rsid w:val="00133B50"/>
    <w:rsid w:val="001566CB"/>
    <w:rsid w:val="001638EA"/>
    <w:rsid w:val="001659D2"/>
    <w:rsid w:val="0018203F"/>
    <w:rsid w:val="00197E01"/>
    <w:rsid w:val="001A1BD8"/>
    <w:rsid w:val="001B2DE2"/>
    <w:rsid w:val="001C4A8C"/>
    <w:rsid w:val="001D6623"/>
    <w:rsid w:val="001D78E7"/>
    <w:rsid w:val="001E195D"/>
    <w:rsid w:val="001F36F1"/>
    <w:rsid w:val="002041F5"/>
    <w:rsid w:val="0021143B"/>
    <w:rsid w:val="0021703D"/>
    <w:rsid w:val="0022405C"/>
    <w:rsid w:val="00262C96"/>
    <w:rsid w:val="00266A63"/>
    <w:rsid w:val="00266B62"/>
    <w:rsid w:val="00273948"/>
    <w:rsid w:val="00273DB3"/>
    <w:rsid w:val="00281AEF"/>
    <w:rsid w:val="002A3DD8"/>
    <w:rsid w:val="002D07F7"/>
    <w:rsid w:val="002E44CD"/>
    <w:rsid w:val="002E62B2"/>
    <w:rsid w:val="00310FE6"/>
    <w:rsid w:val="00312A11"/>
    <w:rsid w:val="00325A4B"/>
    <w:rsid w:val="00334F50"/>
    <w:rsid w:val="00335E51"/>
    <w:rsid w:val="00344AEF"/>
    <w:rsid w:val="00360465"/>
    <w:rsid w:val="003627C3"/>
    <w:rsid w:val="003645F3"/>
    <w:rsid w:val="00376AB0"/>
    <w:rsid w:val="00392859"/>
    <w:rsid w:val="003B0D93"/>
    <w:rsid w:val="003B5EEF"/>
    <w:rsid w:val="003D5355"/>
    <w:rsid w:val="003E5EC7"/>
    <w:rsid w:val="00403013"/>
    <w:rsid w:val="00420D16"/>
    <w:rsid w:val="00425B30"/>
    <w:rsid w:val="004410C5"/>
    <w:rsid w:val="004601AE"/>
    <w:rsid w:val="004633BD"/>
    <w:rsid w:val="00482078"/>
    <w:rsid w:val="004859DD"/>
    <w:rsid w:val="00491BEB"/>
    <w:rsid w:val="0049313D"/>
    <w:rsid w:val="00495408"/>
    <w:rsid w:val="004A1136"/>
    <w:rsid w:val="004A5A0B"/>
    <w:rsid w:val="004A7080"/>
    <w:rsid w:val="004C1484"/>
    <w:rsid w:val="004C5C64"/>
    <w:rsid w:val="004D4DAD"/>
    <w:rsid w:val="0050612F"/>
    <w:rsid w:val="00515961"/>
    <w:rsid w:val="00527A03"/>
    <w:rsid w:val="00531DFD"/>
    <w:rsid w:val="005414A5"/>
    <w:rsid w:val="0056369D"/>
    <w:rsid w:val="0057249D"/>
    <w:rsid w:val="00573DD9"/>
    <w:rsid w:val="00580986"/>
    <w:rsid w:val="00586064"/>
    <w:rsid w:val="00595DD2"/>
    <w:rsid w:val="005A36A9"/>
    <w:rsid w:val="005A78E2"/>
    <w:rsid w:val="005B5AB9"/>
    <w:rsid w:val="005C28B9"/>
    <w:rsid w:val="005D4C0D"/>
    <w:rsid w:val="00610E61"/>
    <w:rsid w:val="00640D98"/>
    <w:rsid w:val="00645819"/>
    <w:rsid w:val="0065168B"/>
    <w:rsid w:val="00665FFD"/>
    <w:rsid w:val="00694EB5"/>
    <w:rsid w:val="006955D0"/>
    <w:rsid w:val="006979E1"/>
    <w:rsid w:val="006A1BEE"/>
    <w:rsid w:val="006B55C0"/>
    <w:rsid w:val="006C6902"/>
    <w:rsid w:val="006D27AB"/>
    <w:rsid w:val="006D3EF8"/>
    <w:rsid w:val="006E5308"/>
    <w:rsid w:val="006F4FC1"/>
    <w:rsid w:val="00705610"/>
    <w:rsid w:val="00715F3A"/>
    <w:rsid w:val="00736699"/>
    <w:rsid w:val="0074473B"/>
    <w:rsid w:val="0075617F"/>
    <w:rsid w:val="00764053"/>
    <w:rsid w:val="00764899"/>
    <w:rsid w:val="00794B5B"/>
    <w:rsid w:val="00795B46"/>
    <w:rsid w:val="007A3C83"/>
    <w:rsid w:val="007B16DE"/>
    <w:rsid w:val="007B3673"/>
    <w:rsid w:val="007C7281"/>
    <w:rsid w:val="007F0815"/>
    <w:rsid w:val="007F0C40"/>
    <w:rsid w:val="007F2721"/>
    <w:rsid w:val="00807AAA"/>
    <w:rsid w:val="0081015E"/>
    <w:rsid w:val="00822831"/>
    <w:rsid w:val="00824E62"/>
    <w:rsid w:val="00831DF3"/>
    <w:rsid w:val="00835BC0"/>
    <w:rsid w:val="00847C27"/>
    <w:rsid w:val="0085021F"/>
    <w:rsid w:val="0085744A"/>
    <w:rsid w:val="00863D94"/>
    <w:rsid w:val="00864D29"/>
    <w:rsid w:val="00873DBD"/>
    <w:rsid w:val="00882022"/>
    <w:rsid w:val="00885E93"/>
    <w:rsid w:val="008A2B12"/>
    <w:rsid w:val="008B19C1"/>
    <w:rsid w:val="008B68E3"/>
    <w:rsid w:val="008C2724"/>
    <w:rsid w:val="008E10ED"/>
    <w:rsid w:val="008E464E"/>
    <w:rsid w:val="00906E0A"/>
    <w:rsid w:val="009146FF"/>
    <w:rsid w:val="00927672"/>
    <w:rsid w:val="00942142"/>
    <w:rsid w:val="009431EF"/>
    <w:rsid w:val="00977CD0"/>
    <w:rsid w:val="00985D41"/>
    <w:rsid w:val="00992797"/>
    <w:rsid w:val="00997BEF"/>
    <w:rsid w:val="009A0FCE"/>
    <w:rsid w:val="009A6390"/>
    <w:rsid w:val="009C361D"/>
    <w:rsid w:val="009E2249"/>
    <w:rsid w:val="009F2E22"/>
    <w:rsid w:val="00A1255F"/>
    <w:rsid w:val="00A433A3"/>
    <w:rsid w:val="00A661AD"/>
    <w:rsid w:val="00A80A53"/>
    <w:rsid w:val="00AE446F"/>
    <w:rsid w:val="00AF0C07"/>
    <w:rsid w:val="00B16DA2"/>
    <w:rsid w:val="00B337A7"/>
    <w:rsid w:val="00B379D0"/>
    <w:rsid w:val="00B65751"/>
    <w:rsid w:val="00B7169A"/>
    <w:rsid w:val="00BA3594"/>
    <w:rsid w:val="00BC6FE0"/>
    <w:rsid w:val="00BE14AB"/>
    <w:rsid w:val="00BE3736"/>
    <w:rsid w:val="00C03734"/>
    <w:rsid w:val="00C12EEB"/>
    <w:rsid w:val="00C2556A"/>
    <w:rsid w:val="00C32542"/>
    <w:rsid w:val="00C347C5"/>
    <w:rsid w:val="00C37D71"/>
    <w:rsid w:val="00C53995"/>
    <w:rsid w:val="00C80EAD"/>
    <w:rsid w:val="00C92718"/>
    <w:rsid w:val="00C9770B"/>
    <w:rsid w:val="00CA1D0E"/>
    <w:rsid w:val="00CB548A"/>
    <w:rsid w:val="00CB7F97"/>
    <w:rsid w:val="00CC5CB6"/>
    <w:rsid w:val="00CF57C4"/>
    <w:rsid w:val="00D0275C"/>
    <w:rsid w:val="00D146B4"/>
    <w:rsid w:val="00D17897"/>
    <w:rsid w:val="00D21C3B"/>
    <w:rsid w:val="00D37E7D"/>
    <w:rsid w:val="00D507FC"/>
    <w:rsid w:val="00D53D31"/>
    <w:rsid w:val="00D55D7C"/>
    <w:rsid w:val="00D64FA5"/>
    <w:rsid w:val="00D977F5"/>
    <w:rsid w:val="00DA1799"/>
    <w:rsid w:val="00DB39C2"/>
    <w:rsid w:val="00DE43D8"/>
    <w:rsid w:val="00DE7942"/>
    <w:rsid w:val="00E02081"/>
    <w:rsid w:val="00E05C02"/>
    <w:rsid w:val="00E06508"/>
    <w:rsid w:val="00E146CC"/>
    <w:rsid w:val="00E339A8"/>
    <w:rsid w:val="00E5045E"/>
    <w:rsid w:val="00E7633A"/>
    <w:rsid w:val="00E84AE1"/>
    <w:rsid w:val="00E866F6"/>
    <w:rsid w:val="00EC3899"/>
    <w:rsid w:val="00EC69E1"/>
    <w:rsid w:val="00ED03B9"/>
    <w:rsid w:val="00F00E00"/>
    <w:rsid w:val="00F02F5C"/>
    <w:rsid w:val="00F038D8"/>
    <w:rsid w:val="00FB2042"/>
    <w:rsid w:val="00FC252D"/>
    <w:rsid w:val="00FC6F43"/>
    <w:rsid w:val="00FD4653"/>
    <w:rsid w:val="00FE4462"/>
    <w:rsid w:val="00FF1DA4"/>
    <w:rsid w:val="0777672F"/>
    <w:rsid w:val="08485B98"/>
    <w:rsid w:val="08CB14DC"/>
    <w:rsid w:val="08D639B1"/>
    <w:rsid w:val="0FEB39D9"/>
    <w:rsid w:val="10B92494"/>
    <w:rsid w:val="11C96B2B"/>
    <w:rsid w:val="121F4681"/>
    <w:rsid w:val="12B162EB"/>
    <w:rsid w:val="12F87A20"/>
    <w:rsid w:val="13214E28"/>
    <w:rsid w:val="18D72D4C"/>
    <w:rsid w:val="1CD13F56"/>
    <w:rsid w:val="1FD66AA5"/>
    <w:rsid w:val="217636AD"/>
    <w:rsid w:val="239A3ADB"/>
    <w:rsid w:val="25E64886"/>
    <w:rsid w:val="283E39CB"/>
    <w:rsid w:val="29011423"/>
    <w:rsid w:val="29075F24"/>
    <w:rsid w:val="291D2E02"/>
    <w:rsid w:val="2DA8148C"/>
    <w:rsid w:val="2E233A47"/>
    <w:rsid w:val="31455A09"/>
    <w:rsid w:val="31E8301C"/>
    <w:rsid w:val="33794A94"/>
    <w:rsid w:val="36B9187B"/>
    <w:rsid w:val="38605B23"/>
    <w:rsid w:val="3B0D4D1B"/>
    <w:rsid w:val="3FA45AE6"/>
    <w:rsid w:val="41661FE1"/>
    <w:rsid w:val="472E13FB"/>
    <w:rsid w:val="47D264D1"/>
    <w:rsid w:val="48134747"/>
    <w:rsid w:val="51FB5EBA"/>
    <w:rsid w:val="563611BE"/>
    <w:rsid w:val="56EE794B"/>
    <w:rsid w:val="58F9482C"/>
    <w:rsid w:val="5A146F3E"/>
    <w:rsid w:val="5B451335"/>
    <w:rsid w:val="5BDE6AA0"/>
    <w:rsid w:val="5E135AC0"/>
    <w:rsid w:val="60AA3F6A"/>
    <w:rsid w:val="60EC3209"/>
    <w:rsid w:val="626035BA"/>
    <w:rsid w:val="66887D8F"/>
    <w:rsid w:val="6B2C215F"/>
    <w:rsid w:val="6B4D6AE0"/>
    <w:rsid w:val="6C042FCD"/>
    <w:rsid w:val="6FCF35D4"/>
    <w:rsid w:val="7275252F"/>
    <w:rsid w:val="738E13CF"/>
    <w:rsid w:val="787B46CE"/>
    <w:rsid w:val="78991778"/>
    <w:rsid w:val="78BB61D2"/>
    <w:rsid w:val="79355043"/>
    <w:rsid w:val="79611F5E"/>
    <w:rsid w:val="7C9F71D0"/>
    <w:rsid w:val="7D122E7C"/>
    <w:rsid w:val="7E1F71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修订1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3">
    <w:name w:val="修订2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556</Words>
  <Characters>3171</Characters>
  <Lines>26</Lines>
  <Paragraphs>7</Paragraphs>
  <TotalTime>26</TotalTime>
  <ScaleCrop>false</ScaleCrop>
  <LinksUpToDate>false</LinksUpToDate>
  <CharactersWithSpaces>3720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2022-03-14T03:48:00Z</dcterms:created>
  <dc:creator>L</dc:creator>
  <cp:lastModifiedBy>溪河</cp:lastModifiedBy>
  <dcterms:modified xsi:type="dcterms:W3CDTF">2022-04-20T01:12:40Z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3708A4955C6B4B7BB6D075FFA2E49434</vt:lpwstr>
  </property>
</Properties>
</file>